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9BF" w:rsidRPr="00EC719B" w:rsidRDefault="00B929BF" w:rsidP="00EC719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C719B">
        <w:rPr>
          <w:rFonts w:ascii="Times New Roman" w:hAnsi="Times New Roman" w:cs="Times New Roman"/>
          <w:sz w:val="22"/>
          <w:szCs w:val="22"/>
        </w:rPr>
        <w:t>Форма 2.2. Расчет значения индикатора исполнительности</w:t>
      </w:r>
      <w:r w:rsidR="00EC719B" w:rsidRPr="00EC719B">
        <w:rPr>
          <w:rFonts w:ascii="Times New Roman" w:hAnsi="Times New Roman" w:cs="Times New Roman"/>
          <w:sz w:val="22"/>
          <w:szCs w:val="22"/>
        </w:rPr>
        <w:t xml:space="preserve"> за 2017г.</w:t>
      </w:r>
    </w:p>
    <w:p w:rsidR="00B929BF" w:rsidRDefault="00B929BF" w:rsidP="00B929BF">
      <w:pPr>
        <w:pStyle w:val="ConsPlusNonformat"/>
        <w:jc w:val="both"/>
      </w:pPr>
    </w:p>
    <w:p w:rsidR="0097775A" w:rsidRPr="00652306" w:rsidRDefault="00B929BF" w:rsidP="0097775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   </w:t>
      </w:r>
      <w:r w:rsidR="0097775A"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97775A" w:rsidRDefault="0097775A" w:rsidP="0097775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97775A" w:rsidRDefault="0097775A" w:rsidP="0097775A">
      <w:pPr>
        <w:pStyle w:val="ConsPlusNormal"/>
        <w:jc w:val="both"/>
      </w:pPr>
      <w:r>
        <w:t xml:space="preserve">    </w:t>
      </w:r>
    </w:p>
    <w:p w:rsidR="00B929BF" w:rsidRDefault="00B929BF" w:rsidP="00B929B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1077"/>
        <w:gridCol w:w="964"/>
        <w:gridCol w:w="964"/>
        <w:gridCol w:w="1077"/>
      </w:tblGrid>
      <w:tr w:rsidR="00B929BF" w:rsidTr="006F171A">
        <w:tc>
          <w:tcPr>
            <w:tcW w:w="3855" w:type="dxa"/>
            <w:vMerge w:val="restart"/>
          </w:tcPr>
          <w:p w:rsidR="00B929BF" w:rsidRDefault="00B929BF" w:rsidP="006F171A">
            <w:pPr>
              <w:pStyle w:val="ConsPlusNormal"/>
              <w:jc w:val="center"/>
            </w:pPr>
            <w:r>
              <w:t>Параметр (показатель), характеризующий индикатор</w:t>
            </w:r>
          </w:p>
        </w:tc>
        <w:tc>
          <w:tcPr>
            <w:tcW w:w="2211" w:type="dxa"/>
            <w:gridSpan w:val="2"/>
          </w:tcPr>
          <w:p w:rsidR="00B929BF" w:rsidRDefault="00B929BF" w:rsidP="006F171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 w:val="restart"/>
          </w:tcPr>
          <w:p w:rsidR="00B929BF" w:rsidRDefault="00B929BF" w:rsidP="006F171A">
            <w:pPr>
              <w:pStyle w:val="ConsPlusNormal"/>
              <w:jc w:val="center"/>
            </w:pPr>
            <w:r>
              <w:t>Ф / П x 100, %</w:t>
            </w:r>
          </w:p>
        </w:tc>
        <w:tc>
          <w:tcPr>
            <w:tcW w:w="964" w:type="dxa"/>
            <w:vMerge w:val="restart"/>
          </w:tcPr>
          <w:p w:rsidR="00B929BF" w:rsidRDefault="00B929BF" w:rsidP="006F171A">
            <w:pPr>
              <w:pStyle w:val="ConsPlusNormal"/>
              <w:jc w:val="center"/>
            </w:pPr>
            <w:r>
              <w:t>Зависимость</w:t>
            </w:r>
          </w:p>
        </w:tc>
        <w:tc>
          <w:tcPr>
            <w:tcW w:w="1077" w:type="dxa"/>
            <w:vMerge w:val="restart"/>
          </w:tcPr>
          <w:p w:rsidR="00B929BF" w:rsidRDefault="00B929BF" w:rsidP="006F171A">
            <w:pPr>
              <w:pStyle w:val="ConsPlusNormal"/>
              <w:jc w:val="center"/>
            </w:pPr>
            <w:r>
              <w:t>Оценочный балл</w:t>
            </w:r>
          </w:p>
        </w:tc>
      </w:tr>
      <w:tr w:rsidR="00B929BF" w:rsidTr="006F171A">
        <w:tc>
          <w:tcPr>
            <w:tcW w:w="3855" w:type="dxa"/>
            <w:vMerge/>
          </w:tcPr>
          <w:p w:rsidR="00B929BF" w:rsidRDefault="00B929BF" w:rsidP="006F171A"/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фактическое (Ф)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плановое (П)</w:t>
            </w:r>
          </w:p>
        </w:tc>
        <w:tc>
          <w:tcPr>
            <w:tcW w:w="964" w:type="dxa"/>
            <w:vMerge/>
          </w:tcPr>
          <w:p w:rsidR="00B929BF" w:rsidRDefault="00B929BF" w:rsidP="006F171A"/>
        </w:tc>
        <w:tc>
          <w:tcPr>
            <w:tcW w:w="964" w:type="dxa"/>
            <w:vMerge/>
          </w:tcPr>
          <w:p w:rsidR="00B929BF" w:rsidRDefault="00B929BF" w:rsidP="006F171A"/>
        </w:tc>
        <w:tc>
          <w:tcPr>
            <w:tcW w:w="1077" w:type="dxa"/>
            <w:vMerge/>
          </w:tcPr>
          <w:p w:rsidR="00B929BF" w:rsidRDefault="00B929BF" w:rsidP="006F171A"/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6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bookmarkStart w:id="0" w:name="P1255"/>
            <w:bookmarkEnd w:id="0"/>
            <w:r>
              <w:t>1. Соблюдение сроков по процедурам взаимодействия с потребителями услуг (заявителями) - всего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0,75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</w:pP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1.1. Среднее время, затраченное территориальной сетевой организацией на направление проекта договора оказания услуг по передаче электрической энергии потребителю услуг (заявителю), дней</w:t>
            </w:r>
          </w:p>
        </w:tc>
        <w:tc>
          <w:tcPr>
            <w:tcW w:w="1134" w:type="dxa"/>
          </w:tcPr>
          <w:p w:rsidR="00B929BF" w:rsidRDefault="00EC719B" w:rsidP="006F17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B929BF" w:rsidRDefault="00EC719B" w:rsidP="006F171A">
            <w:pPr>
              <w:pStyle w:val="ConsPlusNormal"/>
            </w:pPr>
            <w:r>
              <w:t>60%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0,75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1.2. Среднее время, необходимое для оборудования точки поставки приборами учета с момента подачи заявления потребителем услуг: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  <w:bookmarkStart w:id="1" w:name="_GoBack"/>
            <w:bookmarkEnd w:id="1"/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0,75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а) для физических лиц, включая индивидуальных предпринимателей, и юридических лиц - субъектов малого и среднего предпринимательства, дней</w:t>
            </w:r>
          </w:p>
        </w:tc>
        <w:tc>
          <w:tcPr>
            <w:tcW w:w="1134" w:type="dxa"/>
          </w:tcPr>
          <w:p w:rsidR="00B929BF" w:rsidRDefault="00EC719B" w:rsidP="006F171A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5</w:t>
            </w:r>
          </w:p>
        </w:tc>
        <w:tc>
          <w:tcPr>
            <w:tcW w:w="964" w:type="dxa"/>
          </w:tcPr>
          <w:p w:rsidR="00B929BF" w:rsidRDefault="00EC719B" w:rsidP="006F171A">
            <w:pPr>
              <w:pStyle w:val="ConsPlusNormal"/>
            </w:pPr>
            <w:r>
              <w:t>40%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б) для остальных потребителей услуг, дней</w:t>
            </w:r>
          </w:p>
        </w:tc>
        <w:tc>
          <w:tcPr>
            <w:tcW w:w="1134" w:type="dxa"/>
          </w:tcPr>
          <w:p w:rsidR="00B929BF" w:rsidRDefault="00EC719B" w:rsidP="006F171A">
            <w:pPr>
              <w:pStyle w:val="ConsPlusNormal"/>
            </w:pPr>
            <w:r>
              <w:t>2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5</w:t>
            </w:r>
          </w:p>
        </w:tc>
        <w:tc>
          <w:tcPr>
            <w:tcW w:w="964" w:type="dxa"/>
          </w:tcPr>
          <w:p w:rsidR="00B929BF" w:rsidRDefault="00EC719B" w:rsidP="006F171A">
            <w:pPr>
              <w:pStyle w:val="ConsPlusNormal"/>
            </w:pPr>
            <w:r>
              <w:t>40%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1.3. Количество случаев отказа от заключения и случаев расторжения потребителем услуг договоров оказания услуг по передаче электрической энергии, процентов от общего количества заключенных территориальной сетевой организацией договоров с потребителями услуг (заявителями), кроме физических лиц</w:t>
            </w:r>
          </w:p>
        </w:tc>
        <w:tc>
          <w:tcPr>
            <w:tcW w:w="1134" w:type="dxa"/>
          </w:tcPr>
          <w:p w:rsidR="00B929BF" w:rsidRDefault="00EC719B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B929BF" w:rsidRDefault="00EC719B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EC719B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bookmarkStart w:id="2" w:name="P1297"/>
            <w:bookmarkEnd w:id="2"/>
            <w:r>
              <w:t>2. Соблюдение требований нормативных правовых актов Российской Федерации по поддержанию качества электрической энергии, по критерию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lastRenderedPageBreak/>
              <w:t>2.1. Количество обращений потребителей услуг с указанием на ненадлежащее качество электрической энергии,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bookmarkStart w:id="3" w:name="P1309"/>
            <w:bookmarkEnd w:id="3"/>
            <w:r>
              <w:t>3. Наличие взаимодействия с потребителями услуг при выводе оборудования в ремонт и (или) из эксплуатации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</w:pP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3.1. Наличие (отсутствие) установленной процедуры согласования с потребителями услуг графиков вывода электросетевого оборудования в ремонт и (или) из эксплуатации (наличие - 1, отсутствие - 0)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120%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3.2. Количество обращений потребителей услуг с указанием на несогласие введения предлагаемых территориальной сетевой организацией графиков вывода электросетевого оборудования в ремонт и (или) из эксплуатации, процентов от общего количества поступивших обращений, кроме физических лиц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0,5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bookmarkStart w:id="4" w:name="P1333"/>
            <w:bookmarkEnd w:id="4"/>
            <w:r>
              <w:t>4. Соблюдение требований нормативных правовых актов по защите персональных данных потребителей услуг (заявителей), по критерию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0,2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4.1. Количество обращений потребителей услуг (заявителей) с указанием на неправомерность использования персональных данных потребителей услуг (заявителей),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B929BF" w:rsidRDefault="006302CE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</w:pP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0,2</w:t>
            </w:r>
          </w:p>
        </w:tc>
      </w:tr>
      <w:tr w:rsidR="00B929BF" w:rsidTr="006F171A">
        <w:tc>
          <w:tcPr>
            <w:tcW w:w="3855" w:type="dxa"/>
          </w:tcPr>
          <w:p w:rsidR="00B929BF" w:rsidRDefault="00B929BF" w:rsidP="006F171A">
            <w:pPr>
              <w:pStyle w:val="ConsPlusNormal"/>
            </w:pPr>
            <w:r>
              <w:t>5. Итого по индикатору исполнительности</w:t>
            </w:r>
          </w:p>
        </w:tc>
        <w:tc>
          <w:tcPr>
            <w:tcW w:w="113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B929BF" w:rsidRDefault="00B929BF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929BF" w:rsidRDefault="006302CE" w:rsidP="006F171A">
            <w:pPr>
              <w:pStyle w:val="ConsPlusNormal"/>
            </w:pPr>
            <w:r>
              <w:t>0,4875</w:t>
            </w:r>
          </w:p>
        </w:tc>
      </w:tr>
    </w:tbl>
    <w:p w:rsidR="00B929BF" w:rsidRDefault="00B929BF" w:rsidP="00B929BF">
      <w:pPr>
        <w:pStyle w:val="ConsPlusNormal"/>
        <w:jc w:val="both"/>
      </w:pPr>
    </w:p>
    <w:p w:rsidR="0097775A" w:rsidRDefault="0097775A" w:rsidP="00B929BF">
      <w:pPr>
        <w:pStyle w:val="ConsPlusNormal"/>
        <w:jc w:val="both"/>
      </w:pPr>
    </w:p>
    <w:p w:rsidR="0097775A" w:rsidRDefault="0097775A" w:rsidP="00B929BF">
      <w:pPr>
        <w:pStyle w:val="ConsPlusNormal"/>
        <w:jc w:val="both"/>
      </w:pPr>
    </w:p>
    <w:p w:rsidR="0097775A" w:rsidRPr="008469D2" w:rsidRDefault="00B929BF" w:rsidP="009777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97775A"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="0097775A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97775A">
        <w:rPr>
          <w:rFonts w:ascii="Times New Roman" w:hAnsi="Times New Roman" w:cs="Times New Roman"/>
          <w:sz w:val="24"/>
          <w:szCs w:val="24"/>
        </w:rPr>
        <w:t>_______________</w:t>
      </w:r>
      <w:r w:rsidR="0097775A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97775A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7775A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97775A">
        <w:rPr>
          <w:rFonts w:ascii="Times New Roman" w:hAnsi="Times New Roman" w:cs="Times New Roman"/>
          <w:sz w:val="24"/>
          <w:szCs w:val="24"/>
        </w:rPr>
        <w:t>______________________</w:t>
      </w:r>
    </w:p>
    <w:p w:rsidR="0097775A" w:rsidRPr="008469D2" w:rsidRDefault="0097775A" w:rsidP="0097775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97775A" w:rsidRPr="008469D2" w:rsidRDefault="0097775A" w:rsidP="0097775A">
      <w:pPr>
        <w:rPr>
          <w:rFonts w:ascii="Times New Roman" w:hAnsi="Times New Roman" w:cs="Times New Roman"/>
          <w:sz w:val="24"/>
          <w:szCs w:val="24"/>
        </w:rPr>
      </w:pPr>
      <w:bookmarkStart w:id="5" w:name="P698"/>
      <w:bookmarkEnd w:id="5"/>
    </w:p>
    <w:p w:rsidR="00120848" w:rsidRDefault="00120848" w:rsidP="0097775A">
      <w:pPr>
        <w:pStyle w:val="ConsPlusNonformat"/>
        <w:jc w:val="both"/>
      </w:pPr>
    </w:p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D61"/>
    <w:rsid w:val="00120848"/>
    <w:rsid w:val="006302CE"/>
    <w:rsid w:val="008C5D61"/>
    <w:rsid w:val="0097775A"/>
    <w:rsid w:val="00B929BF"/>
    <w:rsid w:val="00EC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49BD7-81E3-4A69-9F2E-CF33F277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9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2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929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2018-03-20T08:48:00Z</dcterms:created>
  <dcterms:modified xsi:type="dcterms:W3CDTF">2018-03-23T09:45:00Z</dcterms:modified>
</cp:coreProperties>
</file>